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77777777"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w:t>
      </w:r>
      <w:r w:rsidR="009E1304">
        <w:rPr>
          <w:rFonts w:ascii="Arial" w:hAnsi="Arial" w:cs="Arial"/>
          <w:b/>
          <w:bCs/>
          <w:sz w:val="20"/>
          <w:szCs w:val="20"/>
          <w:lang w:eastAsia="en-GB"/>
        </w:rPr>
        <w:t>8</w:t>
      </w:r>
    </w:p>
    <w:p w14:paraId="0D4546E8" w14:textId="12474CEB"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E1304">
        <w:rPr>
          <w:rFonts w:ascii="Arial" w:hAnsi="Arial" w:cs="Arial"/>
          <w:b/>
          <w:bCs/>
          <w:sz w:val="20"/>
          <w:szCs w:val="20"/>
          <w:lang w:eastAsia="en-GB"/>
        </w:rPr>
        <w:t>2</w:t>
      </w:r>
      <w:r w:rsidR="00C70A58">
        <w:rPr>
          <w:rFonts w:ascii="Arial" w:hAnsi="Arial" w:cs="Arial"/>
          <w:b/>
          <w:bCs/>
          <w:sz w:val="20"/>
          <w:szCs w:val="20"/>
          <w:lang w:eastAsia="en-GB"/>
        </w:rPr>
        <w:t>4</w:t>
      </w:r>
      <w:r w:rsidR="009E1304">
        <w:rPr>
          <w:rFonts w:ascii="Arial" w:hAnsi="Arial" w:cs="Arial"/>
          <w:b/>
          <w:bCs/>
          <w:sz w:val="20"/>
          <w:szCs w:val="20"/>
          <w:lang w:eastAsia="en-GB"/>
        </w:rPr>
        <w:t>/02/2022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1579E912"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w:t>
      </w:r>
      <w:r w:rsidR="004D515C">
        <w:rPr>
          <w:rStyle w:val="A1"/>
        </w:rPr>
        <w:t xml:space="preserve"> the NHS and we, </w:t>
      </w:r>
      <w:proofErr w:type="spellStart"/>
      <w:r w:rsidR="004D515C">
        <w:rPr>
          <w:rStyle w:val="A1"/>
        </w:rPr>
        <w:t>Oakleaf</w:t>
      </w:r>
      <w:proofErr w:type="spellEnd"/>
      <w:r w:rsidR="004D515C">
        <w:rPr>
          <w:rStyle w:val="A1"/>
        </w:rPr>
        <w:t xml:space="preserve"> Medical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0331C51C"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w:t>
      </w:r>
      <w:r w:rsidR="004D515C">
        <w:rPr>
          <w:color w:val="auto"/>
          <w:sz w:val="22"/>
          <w:szCs w:val="22"/>
          <w:bdr w:val="none" w:sz="0" w:space="0" w:color="auto" w:frame="1"/>
          <w:shd w:val="clear" w:color="auto" w:fill="FFFFFF"/>
          <w:lang w:eastAsia="en-GB"/>
        </w:rPr>
        <w:t xml:space="preserve"> in the most efficient way we,</w:t>
      </w:r>
      <w:r w:rsidR="004D515C" w:rsidRPr="004D515C">
        <w:rPr>
          <w:rStyle w:val="A1"/>
        </w:rPr>
        <w:t xml:space="preserve"> </w:t>
      </w:r>
      <w:proofErr w:type="spellStart"/>
      <w:r w:rsidR="004D515C">
        <w:rPr>
          <w:rStyle w:val="A1"/>
        </w:rPr>
        <w:t>Oakleaf</w:t>
      </w:r>
      <w:proofErr w:type="spellEnd"/>
      <w:r w:rsidR="004D515C">
        <w:rPr>
          <w:rStyle w:val="A1"/>
        </w:rPr>
        <w:t xml:space="preserve"> Medical Practice</w:t>
      </w:r>
      <w:r w:rsidR="004D515C">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363400C"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w:t>
      </w:r>
      <w:r w:rsidR="004D515C">
        <w:rPr>
          <w:rFonts w:ascii="Arial" w:hAnsi="Arial" w:cs="Arial"/>
          <w:sz w:val="22"/>
          <w:szCs w:val="22"/>
        </w:rPr>
        <w:t>such as</w:t>
      </w:r>
      <w:r w:rsidR="004D515C" w:rsidRPr="004D515C">
        <w:rPr>
          <w:rStyle w:val="A1"/>
        </w:rPr>
        <w:t xml:space="preserve"> </w:t>
      </w:r>
      <w:proofErr w:type="spellStart"/>
      <w:r w:rsidR="004D515C">
        <w:rPr>
          <w:rStyle w:val="A1"/>
        </w:rPr>
        <w:t>Oakleaf</w:t>
      </w:r>
      <w:proofErr w:type="spellEnd"/>
      <w:r w:rsidR="004D515C">
        <w:rPr>
          <w:rStyle w:val="A1"/>
        </w:rPr>
        <w:t xml:space="preserve"> Medical Practice</w:t>
      </w:r>
      <w:r w:rsidR="004D515C">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w:t>
      </w:r>
      <w:r w:rsidR="004D515C">
        <w:rPr>
          <w:rFonts w:ascii="Arial" w:hAnsi="Arial" w:cs="Arial"/>
          <w:sz w:val="22"/>
          <w:szCs w:val="22"/>
        </w:rPr>
        <w:t xml:space="preserve"> require organisations such as</w:t>
      </w:r>
      <w:r w:rsidR="004D515C" w:rsidRPr="004D515C">
        <w:rPr>
          <w:rStyle w:val="A1"/>
        </w:rPr>
        <w:t xml:space="preserve"> </w:t>
      </w:r>
      <w:proofErr w:type="spellStart"/>
      <w:r w:rsidR="004D515C">
        <w:rPr>
          <w:rStyle w:val="A1"/>
        </w:rPr>
        <w:t>Oakleaf</w:t>
      </w:r>
      <w:proofErr w:type="spellEnd"/>
      <w:r w:rsidR="004D515C">
        <w:rPr>
          <w:rStyle w:val="A1"/>
        </w:rPr>
        <w:t xml:space="preserve"> Medical Practice</w:t>
      </w:r>
      <w:r w:rsidR="004D515C">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2BDC5DDF"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w:t>
      </w:r>
      <w:r w:rsidR="004D515C">
        <w:rPr>
          <w:rFonts w:ascii="Arial" w:hAnsi="Arial" w:cs="Arial"/>
          <w:sz w:val="22"/>
          <w:szCs w:val="22"/>
        </w:rPr>
        <w:t xml:space="preserve">4) that requires </w:t>
      </w:r>
      <w:proofErr w:type="spellStart"/>
      <w:r w:rsidR="004D515C">
        <w:rPr>
          <w:rStyle w:val="A1"/>
        </w:rPr>
        <w:t>Oakleaf</w:t>
      </w:r>
      <w:proofErr w:type="spellEnd"/>
      <w:r w:rsidR="004D515C">
        <w:rPr>
          <w:rStyle w:val="A1"/>
        </w:rPr>
        <w:t xml:space="preserve"> Medical Practice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1A7F2609" w:rsidR="001941ED" w:rsidRDefault="004D515C" w:rsidP="001941ED">
      <w:pPr>
        <w:pStyle w:val="NormalWeb"/>
        <w:jc w:val="both"/>
        <w:rPr>
          <w:rFonts w:ascii="Arial" w:hAnsi="Arial" w:cs="Arial"/>
          <w:sz w:val="22"/>
          <w:szCs w:val="22"/>
        </w:rPr>
      </w:pPr>
      <w:proofErr w:type="spellStart"/>
      <w:r>
        <w:rPr>
          <w:rStyle w:val="A1"/>
        </w:rPr>
        <w:t>Oakleaf</w:t>
      </w:r>
      <w:proofErr w:type="spellEnd"/>
      <w:r>
        <w:rPr>
          <w:rStyle w:val="A1"/>
        </w:rPr>
        <w:t xml:space="preserve"> Medical Practice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F6873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w:t>
      </w:r>
      <w:r w:rsidR="004D515C">
        <w:rPr>
          <w:rFonts w:ascii="Arial" w:hAnsi="Arial" w:cs="Arial"/>
          <w:sz w:val="22"/>
          <w:szCs w:val="22"/>
        </w:rPr>
        <w:t xml:space="preserve"> will be kept by </w:t>
      </w:r>
      <w:proofErr w:type="spellStart"/>
      <w:r w:rsidR="004D515C">
        <w:rPr>
          <w:rStyle w:val="A1"/>
        </w:rPr>
        <w:t>Oakleaf</w:t>
      </w:r>
      <w:proofErr w:type="spellEnd"/>
      <w:r w:rsidR="004D515C">
        <w:rPr>
          <w:rStyle w:val="A1"/>
        </w:rPr>
        <w:t xml:space="preserve"> Medical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B9F416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4D515C">
        <w:rPr>
          <w:rFonts w:ascii="Arial" w:hAnsi="Arial" w:cs="Arial"/>
          <w:bdr w:val="none" w:sz="0" w:space="0" w:color="auto" w:frame="1"/>
          <w:shd w:val="clear" w:color="auto" w:fill="FFFFFF"/>
          <w:lang w:eastAsia="en-GB"/>
        </w:rPr>
        <w:t>ws will not stop</w:t>
      </w:r>
      <w:r w:rsidR="004D515C" w:rsidRPr="004D515C">
        <w:rPr>
          <w:rStyle w:val="A1"/>
        </w:rPr>
        <w:t xml:space="preserve"> </w:t>
      </w:r>
      <w:proofErr w:type="spellStart"/>
      <w:r w:rsidR="004D515C">
        <w:rPr>
          <w:rStyle w:val="A1"/>
        </w:rPr>
        <w:t>Oakleaf</w:t>
      </w:r>
      <w:proofErr w:type="spellEnd"/>
      <w:r w:rsidR="004D515C">
        <w:rPr>
          <w:rStyle w:val="A1"/>
        </w:rPr>
        <w:t xml:space="preserve"> Medical </w:t>
      </w:r>
      <w:proofErr w:type="gramStart"/>
      <w:r w:rsidR="004D515C">
        <w:rPr>
          <w:rStyle w:val="A1"/>
        </w:rPr>
        <w:t>Practice</w:t>
      </w:r>
      <w:r w:rsidR="004D515C">
        <w:rPr>
          <w:rFonts w:ascii="Arial" w:hAnsi="Arial" w:cs="Arial"/>
          <w:bdr w:val="none" w:sz="0" w:space="0" w:color="auto" w:frame="1"/>
          <w:shd w:val="clear" w:color="auto" w:fill="FFFFFF"/>
          <w:lang w:eastAsia="en-GB"/>
        </w:rPr>
        <w:t xml:space="preserve"> </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w:t>
      </w:r>
      <w:proofErr w:type="gramEnd"/>
      <w:r w:rsidRPr="0014024D">
        <w:rPr>
          <w:rFonts w:ascii="Arial" w:hAnsi="Arial" w:cs="Arial"/>
          <w:bdr w:val="none" w:sz="0" w:space="0" w:color="auto" w:frame="1"/>
          <w:shd w:val="clear" w:color="auto" w:fill="FFFFFF"/>
          <w:lang w:eastAsia="en-GB"/>
        </w:rPr>
        <w:t xml:space="preserve">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0D619B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4D515C">
        <w:rPr>
          <w:rFonts w:ascii="Arial" w:hAnsi="Arial" w:cs="Arial"/>
          <w:bdr w:val="none" w:sz="0" w:space="0" w:color="auto" w:frame="1"/>
          <w:shd w:val="clear" w:color="auto" w:fill="FFFFFF"/>
          <w:lang w:eastAsia="en-GB"/>
        </w:rPr>
        <w:t>echnology allows</w:t>
      </w:r>
      <w:r w:rsidR="004D515C" w:rsidRPr="004D515C">
        <w:rPr>
          <w:rStyle w:val="A1"/>
        </w:rPr>
        <w:t xml:space="preserve"> </w:t>
      </w:r>
      <w:proofErr w:type="spellStart"/>
      <w:r w:rsidR="004D515C">
        <w:rPr>
          <w:rStyle w:val="A1"/>
        </w:rPr>
        <w:t>Oakleaf</w:t>
      </w:r>
      <w:proofErr w:type="spellEnd"/>
      <w:r w:rsidR="004D515C">
        <w:rPr>
          <w:rStyle w:val="A1"/>
        </w:rPr>
        <w:t xml:space="preserve"> Medical Practice</w:t>
      </w:r>
      <w:r w:rsidR="004D515C">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22374FC4"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Revised weekly data collection. The first collection is due </w:t>
            </w:r>
            <w:r w:rsidR="004D515C">
              <w:rPr>
                <w:rFonts w:ascii="Arial" w:hAnsi="Arial" w:cs="Arial"/>
                <w:bdr w:val="none" w:sz="0" w:space="0" w:color="auto" w:frame="1"/>
                <w:lang w:eastAsia="en-GB"/>
              </w:rPr>
              <w:t>week commencing 28 September 22</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401F80"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39449E58"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w:t>
      </w:r>
      <w:r w:rsidR="004D515C">
        <w:rPr>
          <w:rFonts w:ascii="Arial" w:hAnsi="Arial" w:cs="Arial"/>
          <w:bdr w:val="none" w:sz="0" w:space="0" w:color="auto" w:frame="1"/>
          <w:lang w:eastAsia="en-GB"/>
        </w:rPr>
        <w:t>ble for staff at</w:t>
      </w:r>
      <w:r w:rsidR="004D515C" w:rsidRPr="004D515C">
        <w:rPr>
          <w:rStyle w:val="A1"/>
        </w:rPr>
        <w:t xml:space="preserve"> </w:t>
      </w:r>
      <w:proofErr w:type="spellStart"/>
      <w:r w:rsidR="004D515C">
        <w:rPr>
          <w:rStyle w:val="A1"/>
        </w:rPr>
        <w:t>Oakleaf</w:t>
      </w:r>
      <w:proofErr w:type="spellEnd"/>
      <w:r w:rsidR="004D515C">
        <w:rPr>
          <w:rStyle w:val="A1"/>
        </w:rPr>
        <w:t xml:space="preserve"> Medical Practice</w:t>
      </w:r>
      <w:r w:rsidR="004D515C">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5541921E"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w:t>
      </w:r>
      <w:r w:rsidR="004D515C">
        <w:rPr>
          <w:rFonts w:ascii="Arial" w:hAnsi="Arial" w:cs="Arial"/>
          <w:sz w:val="22"/>
          <w:szCs w:val="22"/>
        </w:rPr>
        <w:t xml:space="preserve">otice is sent to </w:t>
      </w:r>
      <w:proofErr w:type="spellStart"/>
      <w:r w:rsidR="004D515C">
        <w:rPr>
          <w:rStyle w:val="A1"/>
        </w:rPr>
        <w:t>Oakleaf</w:t>
      </w:r>
      <w:proofErr w:type="spellEnd"/>
      <w:r w:rsidR="004D515C">
        <w:rPr>
          <w:rStyle w:val="A1"/>
        </w:rPr>
        <w:t xml:space="preserve"> Medical Practice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30th June 2022.</w:t>
      </w:r>
    </w:p>
    <w:p w14:paraId="0F5D19AF" w14:textId="77777777" w:rsidR="00176F63" w:rsidRDefault="00176F63"/>
    <w:sectPr w:rsidR="00176F63" w:rsidSect="00A1273E">
      <w:headerReference w:type="even" r:id="rId10"/>
      <w:headerReference w:type="default" r:id="rId11"/>
      <w:footerReference w:type="even" r:id="rId12"/>
      <w:footerReference w:type="default" r:id="rId13"/>
      <w:headerReference w:type="first" r:id="rId14"/>
      <w:footerReference w:type="first" r:id="rId15"/>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C5F05" w14:textId="77777777" w:rsidR="00401F80" w:rsidRDefault="00401F80" w:rsidP="00A24A83">
      <w:pPr>
        <w:spacing w:after="0" w:line="240" w:lineRule="auto"/>
      </w:pPr>
      <w:r>
        <w:separator/>
      </w:r>
    </w:p>
  </w:endnote>
  <w:endnote w:type="continuationSeparator" w:id="0">
    <w:p w14:paraId="7A5F1B2E" w14:textId="77777777" w:rsidR="00401F80" w:rsidRDefault="00401F80"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FD0D" w14:textId="77777777" w:rsidR="004D515C" w:rsidRDefault="004D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57DFD9C"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rsidR="004D515C">
      <w:t xml:space="preserve"> </w:t>
    </w:r>
    <w:proofErr w:type="spellStart"/>
    <w:r w:rsidR="004D515C">
      <w:rPr>
        <w:rStyle w:val="A1"/>
      </w:rPr>
      <w:t>Oakleaf</w:t>
    </w:r>
    <w:proofErr w:type="spellEnd"/>
    <w:proofErr w:type="gramEnd"/>
    <w:r w:rsidR="004D515C">
      <w:rPr>
        <w:rStyle w:val="A1"/>
      </w:rPr>
      <w:t xml:space="preserve"> Medical Practice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10B9" w14:textId="77777777" w:rsidR="004D515C" w:rsidRDefault="004D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09E7" w14:textId="77777777" w:rsidR="00401F80" w:rsidRDefault="00401F80" w:rsidP="00A24A83">
      <w:pPr>
        <w:spacing w:after="0" w:line="240" w:lineRule="auto"/>
      </w:pPr>
      <w:r>
        <w:separator/>
      </w:r>
    </w:p>
  </w:footnote>
  <w:footnote w:type="continuationSeparator" w:id="0">
    <w:p w14:paraId="09CBD80A" w14:textId="77777777" w:rsidR="00401F80" w:rsidRDefault="00401F80"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76D5" w14:textId="77777777" w:rsidR="004D515C" w:rsidRDefault="004D5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401F80" w:rsidP="008715D2">
    <w:pPr>
      <w:pStyle w:val="Header"/>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5E04" w14:textId="77777777" w:rsidR="004D515C" w:rsidRDefault="004D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16639"/>
    <w:rsid w:val="00116BE1"/>
    <w:rsid w:val="00124B59"/>
    <w:rsid w:val="00126029"/>
    <w:rsid w:val="00176F63"/>
    <w:rsid w:val="001941ED"/>
    <w:rsid w:val="00334BCB"/>
    <w:rsid w:val="003542CF"/>
    <w:rsid w:val="00401F80"/>
    <w:rsid w:val="0044626B"/>
    <w:rsid w:val="004D515C"/>
    <w:rsid w:val="005C0A26"/>
    <w:rsid w:val="0083424E"/>
    <w:rsid w:val="00870AF1"/>
    <w:rsid w:val="009239AF"/>
    <w:rsid w:val="009276C0"/>
    <w:rsid w:val="00943C60"/>
    <w:rsid w:val="009E1304"/>
    <w:rsid w:val="00A24A83"/>
    <w:rsid w:val="00B47485"/>
    <w:rsid w:val="00B712D7"/>
    <w:rsid w:val="00C70A58"/>
    <w:rsid w:val="00CE1FDB"/>
    <w:rsid w:val="00D62D42"/>
    <w:rsid w:val="00DC2632"/>
    <w:rsid w:val="00DE7AF8"/>
    <w:rsid w:val="00E21CD5"/>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Talat Khaliq</cp:lastModifiedBy>
  <cp:revision>2</cp:revision>
  <dcterms:created xsi:type="dcterms:W3CDTF">2022-03-02T18:56:00Z</dcterms:created>
  <dcterms:modified xsi:type="dcterms:W3CDTF">2022-03-02T18:56:00Z</dcterms:modified>
</cp:coreProperties>
</file>